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06FA" w14:textId="77777777" w:rsidR="00094ACA" w:rsidRPr="00094ACA" w:rsidRDefault="00094ACA" w:rsidP="00094ACA">
      <w:pPr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:lang w:eastAsia="nl-NL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94ACA" w:rsidRPr="00094ACA" w14:paraId="5899CCE2" w14:textId="77777777">
        <w:trPr>
          <w:jc w:val="center"/>
        </w:trPr>
        <w:tc>
          <w:tcPr>
            <w:tcW w:w="14475" w:type="dxa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94ACA" w:rsidRPr="00094ACA" w14:paraId="6156368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94ACA" w:rsidRPr="00094ACA" w14:paraId="3705CE5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7721F4B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56"/>
                              </w:tblGrid>
                              <w:tr w:rsidR="00094ACA" w:rsidRPr="00094ACA" w14:paraId="6201AEE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360E69E8" w14:textId="7328EBE0" w:rsidR="00094ACA" w:rsidRPr="00094ACA" w:rsidRDefault="00094ACA" w:rsidP="00094ACA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instrText xml:space="preserve"> INCLUDEPICTURE "/Users/evandemeeberg/Library/Group Containers/UBF8T346G9.ms/WebArchiveCopyPasteTempFiles/com.microsoft.Word/503a18cd-c99c-c2c9-b0b2-3f700f64864a.jpg" \* MERGEFORMATINET </w:instrText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drawing>
                                        <wp:inline distT="0" distB="0" distL="0" distR="0" wp14:anchorId="118E536D" wp14:editId="70B88DE8">
                                          <wp:extent cx="5731510" cy="1143635"/>
                                          <wp:effectExtent l="0" t="0" r="0" b="0"/>
                                          <wp:docPr id="1371498069" name="Afbeelding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31510" cy="11436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759F30D9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CB6AC88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74C915CC" w14:textId="77777777" w:rsidR="00094ACA" w:rsidRPr="00094ACA" w:rsidRDefault="00094ACA" w:rsidP="00094ACA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  <w:tr w:rsidR="00094ACA" w:rsidRPr="00094ACA" w14:paraId="275195B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94ACA" w:rsidRPr="00094ACA" w14:paraId="2001F55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755D8FE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094ACA" w14:paraId="44E8AFF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376F02C" w14:textId="77777777" w:rsidR="00094ACA" w:rsidRPr="00094ACA" w:rsidRDefault="00094ACA" w:rsidP="00094ACA">
                                    <w:pPr>
                                      <w:spacing w:line="765" w:lineRule="atLeast"/>
                                      <w:outlineLvl w:val="1"/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222222"/>
                                        <w:kern w:val="0"/>
                                        <w:sz w:val="51"/>
                                        <w:szCs w:val="51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222222"/>
                                        <w:kern w:val="0"/>
                                        <w:sz w:val="51"/>
                                        <w:szCs w:val="51"/>
                                        <w:lang w:eastAsia="nl-NL"/>
                                        <w14:ligatures w14:val="none"/>
                                      </w:rPr>
                                      <w:t>New training kit: Climate displacement and international protection </w:t>
                                    </w:r>
                                  </w:p>
                                </w:tc>
                              </w:tr>
                            </w:tbl>
                            <w:p w14:paraId="2DB434E2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165730C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6D548B62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56"/>
                              </w:tblGrid>
                              <w:tr w:rsidR="00094ACA" w:rsidRPr="00094ACA" w14:paraId="037CFE8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4BFB51C6" w14:textId="5DB8DC68" w:rsidR="00094ACA" w:rsidRPr="00094ACA" w:rsidRDefault="00094ACA" w:rsidP="00094ACA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instrText xml:space="preserve"> INCLUDEPICTURE "/Users/evandemeeberg/Library/Group Containers/UBF8T346G9.ms/WebArchiveCopyPasteTempFiles/com.microsoft.Word/0b314293-948e-8afd-5c87-36690e63e144.jpg" \* MERGEFORMATINET </w:instrText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drawing>
                                        <wp:inline distT="0" distB="0" distL="0" distR="0" wp14:anchorId="1C234847" wp14:editId="2D4C2875">
                                          <wp:extent cx="5731510" cy="3820795"/>
                                          <wp:effectExtent l="0" t="0" r="0" b="1905"/>
                                          <wp:docPr id="1792767627" name="Afbeelding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31510" cy="382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6D3D8CEF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F741148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2D8456B3" w14:textId="77777777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86"/>
                              </w:tblGrid>
                              <w:tr w:rsidR="00094ACA" w:rsidRPr="00094ACA" w14:paraId="47F1499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2C7D98B" w14:textId="77777777" w:rsidR="00094ACA" w:rsidRPr="00094ACA" w:rsidRDefault="00094ACA" w:rsidP="00094AC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A00FA1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8FEE83E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0F48C903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094ACA" w14:paraId="050C129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6207CD8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Climate displacement is no longer a future issue. Each year, millions of people are forced from their homes because of the impacts of climate change and disasters – and some cross international borders.</w:t>
                                    </w:r>
                                  </w:p>
                                  <w:p w14:paraId="57626101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lastRenderedPageBreak/>
                                      <w:t>What does the law require in these cases?</w:t>
                                    </w:r>
                                  </w:p>
                                  <w:p w14:paraId="74304AD6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Today the Kaldor Centre launches a </w:t>
                                    </w:r>
                                    <w:hyperlink r:id="rId7" w:tgtFrame="_blank" w:history="1">
                                      <w:r w:rsidRPr="00094ACA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007C89"/>
                                          <w:kern w:val="0"/>
                                          <w:u w:val="single"/>
                                          <w:lang w:eastAsia="nl-NL"/>
                                          <w14:ligatures w14:val="none"/>
                                        </w:rPr>
                                        <w:t>free training kit</w:t>
                                      </w:r>
                                    </w:hyperlink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 for decision-makers and legal practitioners working on international protection claims involving climate change and disasters.</w:t>
                                    </w:r>
                                  </w:p>
                                  <w:p w14:paraId="7BB3EE06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Developed by Professor 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Jane McAdam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 and Dr 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Tamara Wood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, the self-guided materials build on the </w:t>
                                    </w:r>
                                    <w:hyperlink r:id="rId8" w:tgtFrame="_blank" w:history="1">
                                      <w:r w:rsidRPr="00094ACA">
                                        <w:rPr>
                                          <w:rFonts w:ascii="Helvetica" w:eastAsia="Times New Roman" w:hAnsi="Helvetica" w:cs="Times New Roman"/>
                                          <w:i/>
                                          <w:iCs/>
                                          <w:color w:val="007C89"/>
                                          <w:kern w:val="0"/>
                                          <w:u w:val="single"/>
                                          <w:lang w:eastAsia="nl-NL"/>
                                          <w14:ligatures w14:val="none"/>
                                        </w:rPr>
                                        <w:t>Practical Toolkit</w:t>
                                      </w:r>
                                    </w:hyperlink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 – a landmark resource the Kaldor Centre produced with leading global experts and UNHCR. It shows how refugee law and human rights law 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i/>
                                        <w:iCs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can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 provide protection in some situations where climate change and disasters play a role.</w:t>
                                    </w:r>
                                  </w:p>
                                  <w:p w14:paraId="40BF46CE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Legal clarity can make a life-saving difference.</w:t>
                                    </w:r>
                                  </w:p>
                                </w:tc>
                              </w:tr>
                            </w:tbl>
                            <w:p w14:paraId="3B322F2E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6542EA2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693C1F1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shd w:val="clear" w:color="auto" w:fill="663398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68"/>
                              </w:tblGrid>
                              <w:tr w:rsidR="00094ACA" w:rsidRPr="00094ACA" w14:paraId="618AC45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66339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14:paraId="168E060C" w14:textId="77777777" w:rsidR="00094ACA" w:rsidRPr="00094ACA" w:rsidRDefault="00094ACA" w:rsidP="00094ACA">
                                    <w:pPr>
                                      <w:jc w:val="center"/>
                                      <w:rPr>
                                        <w:rFonts w:ascii="Roboto" w:eastAsia="Times New Roman" w:hAnsi="Roboto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hyperlink r:id="rId9" w:tgtFrame="_blank" w:tooltip="Start the training now" w:history="1">
                                      <w:r w:rsidRPr="00094ACA">
                                        <w:rPr>
                                          <w:rFonts w:ascii="Roboto" w:eastAsia="Times New Roman" w:hAnsi="Roboto" w:cs="Times New Roman"/>
                                          <w:b/>
                                          <w:bCs/>
                                          <w:color w:val="FFFFFF"/>
                                          <w:kern w:val="0"/>
                                          <w:lang w:eastAsia="nl-NL"/>
                                          <w14:ligatures w14:val="none"/>
                                        </w:rPr>
                                        <w:t>Start the training now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39A159E" w14:textId="77777777" w:rsidR="00094ACA" w:rsidRPr="00094ACA" w:rsidRDefault="00094ACA" w:rsidP="00094AC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281CD9C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7141481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094ACA" w14:paraId="22C3077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8B9B71C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Resources include:</w:t>
                                    </w:r>
                                  </w:p>
                                  <w:p w14:paraId="57B2740E" w14:textId="77777777" w:rsidR="00094ACA" w:rsidRPr="00094ACA" w:rsidRDefault="00094ACA" w:rsidP="00094ACA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00" w:beforeAutospacing="1" w:after="100" w:afterAutospacing="1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A step-by-step 12-minute training video</w:t>
                                    </w:r>
                                  </w:p>
                                  <w:p w14:paraId="741B107A" w14:textId="77777777" w:rsidR="00094ACA" w:rsidRPr="00094ACA" w:rsidRDefault="00094ACA" w:rsidP="00094ACA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00" w:beforeAutospacing="1" w:after="100" w:afterAutospacing="1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Four hypothetical scenarios</w:t>
                                    </w:r>
                                  </w:p>
                                  <w:p w14:paraId="4D541EE4" w14:textId="77777777" w:rsidR="00094ACA" w:rsidRPr="00094ACA" w:rsidRDefault="00094ACA" w:rsidP="00094ACA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00" w:beforeAutospacing="1" w:after="100" w:afterAutospacing="1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Participant worksheets</w:t>
                                    </w:r>
                                  </w:p>
                                  <w:p w14:paraId="2F31F35C" w14:textId="77777777" w:rsidR="00094ACA" w:rsidRPr="00094ACA" w:rsidRDefault="00094ACA" w:rsidP="00094ACA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00" w:beforeAutospacing="1" w:after="100" w:afterAutospacing="1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Suggested activities for deeper learning</w:t>
                                    </w:r>
                                  </w:p>
                                  <w:p w14:paraId="2A51E4CB" w14:textId="77777777" w:rsidR="00094ACA" w:rsidRPr="00094ACA" w:rsidRDefault="00094ACA" w:rsidP="00094ACA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00" w:beforeAutospacing="1" w:after="100" w:afterAutospacing="1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Trainer notes and session structures for a tailored delivery</w:t>
                                    </w:r>
                                  </w:p>
                                </w:tc>
                              </w:tr>
                            </w:tbl>
                            <w:p w14:paraId="2F01C076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0781A75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4F5E6F3D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094ACA" w14:paraId="334B833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A9BF4DD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These resources offer clear, practical guidance grounded in real-world decision-making, helping practitioners navigate a rapidly evolving area of law. Decision-makers are already recognising the training kit’s value. Sharelle Aitchison, New Zealand Immigration and Protection Tribunal, described it as:</w:t>
                                    </w:r>
                                  </w:p>
                                  <w:p w14:paraId="5C0D8D96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‘An admirably well-structured and accessible resource … dispelling false assumptions about climate change and disasters in the context of international protection.’</w:t>
                                    </w:r>
                                  </w:p>
                                  <w:p w14:paraId="0EFDA264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We are also offering two ‘train the trainer’ sessions in June 2026.</w:t>
                                    </w:r>
                                  </w:p>
                                </w:tc>
                              </w:tr>
                            </w:tbl>
                            <w:p w14:paraId="72F580E3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4DE4ADA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7CE6737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shd w:val="clear" w:color="auto" w:fill="663398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6"/>
                              </w:tblGrid>
                              <w:tr w:rsidR="00094ACA" w:rsidRPr="00094ACA" w14:paraId="56A13AD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66339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14:paraId="0EEA8948" w14:textId="77777777" w:rsidR="00094ACA" w:rsidRPr="00094ACA" w:rsidRDefault="00094ACA" w:rsidP="00094ACA">
                                    <w:pPr>
                                      <w:jc w:val="center"/>
                                      <w:rPr>
                                        <w:rFonts w:ascii="Roboto" w:eastAsia="Times New Roman" w:hAnsi="Roboto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hyperlink r:id="rId10" w:tgtFrame="_blank" w:tooltip="Explore all the training resources" w:history="1">
                                      <w:r w:rsidRPr="00094ACA">
                                        <w:rPr>
                                          <w:rFonts w:ascii="Roboto" w:eastAsia="Times New Roman" w:hAnsi="Roboto" w:cs="Times New Roman"/>
                                          <w:b/>
                                          <w:bCs/>
                                          <w:color w:val="FFFFFF"/>
                                          <w:kern w:val="0"/>
                                          <w:lang w:eastAsia="nl-NL"/>
                                          <w14:ligatures w14:val="none"/>
                                        </w:rPr>
                                        <w:t>Explore all the training resources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25B1FFA" w14:textId="77777777" w:rsidR="00094ACA" w:rsidRPr="00094ACA" w:rsidRDefault="00094ACA" w:rsidP="00094AC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FE783AE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6E9440BC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094ACA" w14:paraId="0396072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FB37B82" w14:textId="0403D78E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lastRenderedPageBreak/>
                                      <w:t>While the training kit is designed for specialist audiences, the short video below makes the issues accessible to anyone interested in climate-related displacement and protection.</w:t>
                                    </w:r>
                                  </w:p>
                                </w:tc>
                              </w:tr>
                            </w:tbl>
                            <w:p w14:paraId="2D9CAC8C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884703F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09DD6B6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shd w:val="clear" w:color="auto" w:fill="40404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86"/>
                              </w:tblGrid>
                              <w:tr w:rsidR="00094ACA" w:rsidRPr="00094ACA" w14:paraId="072BCBC8" w14:textId="77777777">
                                <w:tc>
                                  <w:tcPr>
                                    <w:tcW w:w="0" w:type="auto"/>
                                    <w:shd w:val="clear" w:color="auto" w:fill="404040"/>
                                    <w:hideMark/>
                                  </w:tcPr>
                                  <w:p w14:paraId="1BD2F5C8" w14:textId="4A1C8E79" w:rsidR="00094ACA" w:rsidRPr="00094ACA" w:rsidRDefault="00094ACA" w:rsidP="00094AC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drawing>
                                        <wp:inline distT="0" distB="0" distL="0" distR="0" wp14:anchorId="109890CE" wp14:editId="50438A46">
                                          <wp:extent cx="5731510" cy="3223260"/>
                                          <wp:effectExtent l="0" t="0" r="0" b="2540"/>
                                          <wp:docPr id="747929020" name="Afbeelding 6">
                                            <a:hlinkClick xmlns:a="http://schemas.openxmlformats.org/drawingml/2006/main" r:id="rId11" tgtFrame="&quot;_blank&quot;" tooltip="&quot;Introducing the Practical Toolkit on climate and disaster displacement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>
                                                    <a:hlinkClick r:id="rId11" tgtFrame="&quot;_blank&quot;" tooltip="&quot;Introducing the Practical Toolkit on climate and disaster displacement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31510" cy="32232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94ACA" w:rsidRPr="00094ACA" w14:paraId="3ACEC3DA" w14:textId="77777777">
                                <w:tc>
                                  <w:tcPr>
                                    <w:tcW w:w="8190" w:type="dxa"/>
                                    <w:shd w:val="clear" w:color="auto" w:fill="404040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6356E21" w14:textId="77777777" w:rsidR="00094ACA" w:rsidRPr="00094ACA" w:rsidRDefault="00094ACA" w:rsidP="00094ACA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Watch a short introduction to see how the 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i/>
                                        <w:iCs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Practical Toolkit 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can help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93C5033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E6D1A38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094ACA" w14:paraId="435DBCB8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094ACA" w14:paraId="59FE24B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A938FBE" w14:textId="77777777" w:rsidR="00094ACA" w:rsidRPr="00094ACA" w:rsidRDefault="00094ACA" w:rsidP="00094ACA">
                                    <w:pPr>
                                      <w:spacing w:before="150" w:after="15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The training forms part of the </w:t>
                                    </w:r>
                                    <w:hyperlink r:id="rId13" w:tgtFrame="_blank" w:history="1">
                                      <w:r w:rsidRPr="00094ACA">
                                        <w:rPr>
                                          <w:rFonts w:ascii="Helvetica" w:eastAsia="Times New Roman" w:hAnsi="Helvetica" w:cs="Times New Roman"/>
                                          <w:color w:val="007C89"/>
                                          <w:kern w:val="0"/>
                                          <w:u w:val="single"/>
                                          <w:lang w:eastAsia="nl-NL"/>
                                          <w14:ligatures w14:val="none"/>
                                        </w:rPr>
                                        <w:t>Climate Mobility Hub</w:t>
                                      </w:r>
                                    </w:hyperlink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, reflecting the Kaldor Centre’s leadership in this field – bringing together rigorous research, legal analysis and practical tools developed with international partners and affected communities.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br/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br/>
                                      <w:t>The 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i/>
                                        <w:iCs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Practical Toolkit </w:t>
                                    </w:r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is now available in </w:t>
                                    </w:r>
                                    <w:hyperlink r:id="rId14" w:tgtFrame="_blank" w:history="1">
                                      <w:r w:rsidRPr="00094ACA">
                                        <w:rPr>
                                          <w:rFonts w:ascii="Helvetica" w:eastAsia="Times New Roman" w:hAnsi="Helvetica" w:cs="Times New Roman"/>
                                          <w:color w:val="007C89"/>
                                          <w:kern w:val="0"/>
                                          <w:u w:val="single"/>
                                          <w:lang w:eastAsia="nl-NL"/>
                                          <w14:ligatures w14:val="none"/>
                                        </w:rPr>
                                        <w:t>Span</w:t>
                                      </w:r>
                                      <w:r w:rsidRPr="00094ACA">
                                        <w:rPr>
                                          <w:rFonts w:ascii="Helvetica" w:eastAsia="Times New Roman" w:hAnsi="Helvetica" w:cs="Times New Roman"/>
                                          <w:color w:val="007C89"/>
                                          <w:kern w:val="0"/>
                                          <w:u w:val="single"/>
                                          <w:lang w:eastAsia="nl-NL"/>
                                          <w14:ligatures w14:val="none"/>
                                        </w:rPr>
                                        <w:t>i</w:t>
                                      </w:r>
                                      <w:r w:rsidRPr="00094ACA">
                                        <w:rPr>
                                          <w:rFonts w:ascii="Helvetica" w:eastAsia="Times New Roman" w:hAnsi="Helvetica" w:cs="Times New Roman"/>
                                          <w:color w:val="007C89"/>
                                          <w:kern w:val="0"/>
                                          <w:u w:val="single"/>
                                          <w:lang w:eastAsia="nl-NL"/>
                                          <w14:ligatures w14:val="none"/>
                                        </w:rPr>
                                        <w:t>sh</w:t>
                                      </w:r>
                                    </w:hyperlink>
                                    <w:r w:rsidRPr="00094ACA">
                                      <w:rPr>
                                        <w:rFonts w:ascii="Helvetica" w:eastAsia="Times New Roman" w:hAnsi="Helvetica" w:cs="Times New Roman"/>
                                        <w:color w:val="757575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  <w:t>, with a French version coming soon.</w:t>
                                    </w:r>
                                  </w:p>
                                </w:tc>
                              </w:tr>
                            </w:tbl>
                            <w:p w14:paraId="05D47A1F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094ACA" w:rsidRPr="00094ACA" w14:paraId="5C10F56A" w14:textId="77777777" w:rsidTr="00E955BF">
                          <w:trPr>
                            <w:trHeight w:val="21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746B866D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094ACA" w:rsidRPr="00094ACA" w14:paraId="2D04E5B1" w14:textId="77777777" w:rsidTr="00E955BF">
                          <w:trPr>
                            <w:trHeight w:val="21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37CC206E" w14:textId="77777777" w:rsidR="00094ACA" w:rsidRPr="00094ACA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FEC86F3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  <w:tr w:rsidR="00094ACA" w:rsidRPr="00702BE3" w14:paraId="19F2CA69" w14:textId="77777777" w:rsidTr="00CE63F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702BE3" w14:paraId="77879018" w14:textId="77777777" w:rsidTr="00CE63F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56"/>
                              </w:tblGrid>
                              <w:tr w:rsidR="00094ACA" w:rsidRPr="00702BE3" w14:paraId="4317905E" w14:textId="77777777" w:rsidTr="00CE63F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86"/>
                                    </w:tblGrid>
                                    <w:tr w:rsidR="00094ACA" w:rsidRPr="00702BE3" w14:paraId="288558DF" w14:textId="77777777" w:rsidTr="00E955BF">
                                      <w:trPr>
                                        <w:trHeight w:val="13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295E7A44" w14:textId="77777777" w:rsidR="00094ACA" w:rsidRPr="00702BE3" w:rsidRDefault="00094ACA" w:rsidP="00094AC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EAF3882" w14:textId="77777777" w:rsidR="00094ACA" w:rsidRPr="00702BE3" w:rsidRDefault="00094ACA" w:rsidP="00094ACA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0A4860" w14:textId="77777777" w:rsidR="00094ACA" w:rsidRPr="00702BE3" w:rsidRDefault="00094ACA" w:rsidP="00094AC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6AFE746" w14:textId="77777777" w:rsidR="00094ACA" w:rsidRPr="00702BE3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702BE3" w14:paraId="21A23988" w14:textId="77777777" w:rsidTr="00CE63F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702BE3" w14:paraId="7EF27071" w14:textId="77777777" w:rsidTr="00CE63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5483A54" w14:textId="77777777" w:rsidR="00094ACA" w:rsidRPr="00702BE3" w:rsidRDefault="00094ACA" w:rsidP="00094AC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Helvetica" w:eastAsia="Times New Roman" w:hAnsi="Helvetica" w:cs="Times New Roman"/>
                                        <w:color w:val="FFFFFF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702BE3">
                                      <w:rPr>
                                        <w:rFonts w:ascii="Helvetica" w:eastAsia="Times New Roman" w:hAnsi="Helvetica" w:cs="Times New Roman"/>
                                        <w:noProof/>
                                        <w:color w:val="FFFFFF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  <w:lastRenderedPageBreak/>
                                      <w:drawing>
                                        <wp:inline distT="0" distB="0" distL="0" distR="0" wp14:anchorId="124BF07E" wp14:editId="0655DD28">
                                          <wp:extent cx="5731510" cy="2854325"/>
                                          <wp:effectExtent l="0" t="0" r="0" b="3175"/>
                                          <wp:docPr id="746979720" name="Afbeelding 1">
                                            <a:hlinkClick xmlns:a="http://schemas.openxmlformats.org/drawingml/2006/main" r:id="rId1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>
                                                    <a:hlinkClick r:id="rId1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31510" cy="28543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5D0ADA4" w14:textId="77777777" w:rsidR="00094ACA" w:rsidRPr="00702BE3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785DEC9" w14:textId="77777777" w:rsidR="00094ACA" w:rsidRPr="00702BE3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094ACA" w:rsidRPr="00702BE3" w14:paraId="0F52C629" w14:textId="77777777" w:rsidTr="00CE63F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094ACA" w:rsidRPr="00702BE3" w14:paraId="1C4750D1" w14:textId="77777777" w:rsidTr="00CE63F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5C0B0B2" w14:textId="77777777" w:rsidR="00094ACA" w:rsidRPr="00702BE3" w:rsidRDefault="00094ACA" w:rsidP="00094AC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Helvetica" w:eastAsia="Times New Roman" w:hAnsi="Helvetica" w:cs="Times New Roman"/>
                                        <w:color w:val="FFFFFF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</w:pPr>
                                    <w:r w:rsidRPr="00702BE3">
                                      <w:rPr>
                                        <w:rFonts w:ascii="Helvetica" w:eastAsia="Times New Roman" w:hAnsi="Helvetica" w:cs="Times New Roman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  <w:t>Andrew &amp; Renata Kaldor Centre for International Refugee Law</w:t>
                                    </w:r>
                                    <w:r w:rsidRPr="00702BE3">
                                      <w:rPr>
                                        <w:rFonts w:ascii="Helvetica" w:eastAsia="Times New Roman" w:hAnsi="Helvetica" w:cs="Times New Roman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  <w:br/>
                                      <w:t>Faculty of Law &amp; Justice, UNSW Sydney, NSW 2052 Australia</w:t>
                                    </w:r>
                                    <w:r w:rsidRPr="00702BE3">
                                      <w:rPr>
                                        <w:rFonts w:ascii="Helvetica" w:eastAsia="Times New Roman" w:hAnsi="Helvetica" w:cs="Times New Roman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  <w:br/>
                                    </w:r>
                                    <w:hyperlink r:id="rId17" w:history="1">
                                      <w:r w:rsidRPr="00702BE3">
                                        <w:rPr>
                                          <w:rFonts w:ascii="Helvetica" w:eastAsia="Times New Roman" w:hAnsi="Helvetica" w:cs="Times New Roman"/>
                                          <w:color w:val="0000FF"/>
                                          <w:kern w:val="0"/>
                                          <w:sz w:val="18"/>
                                          <w:szCs w:val="18"/>
                                          <w:u w:val="single"/>
                                          <w:lang w:eastAsia="nl-NL"/>
                                          <w14:ligatures w14:val="none"/>
                                        </w:rPr>
                                        <w:t>www.kaldorcentre.unsw.edu.au</w:t>
                                      </w:r>
                                    </w:hyperlink>
                                    <w:r w:rsidRPr="00702BE3">
                                      <w:rPr>
                                        <w:rFonts w:ascii="Helvetica" w:eastAsia="Times New Roman" w:hAnsi="Helvetica" w:cs="Times New Roman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  <w:t> </w:t>
                                    </w:r>
                                    <w:r w:rsidRPr="00702BE3">
                                      <w:rPr>
                                        <w:rFonts w:ascii="Helvetica" w:eastAsia="Times New Roman" w:hAnsi="Helvetica" w:cs="Times New Roman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  <w:br/>
                                    </w:r>
                                    <w:r w:rsidRPr="00702BE3">
                                      <w:rPr>
                                        <w:rFonts w:ascii="Helvetica" w:eastAsia="Times New Roman" w:hAnsi="Helvetica" w:cs="Times New Roman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eastAsia="nl-NL"/>
                                        <w14:ligatures w14:val="none"/>
                                      </w:rPr>
                                      <w:br/>
                                      <w:t>UNSW CRICOS Provider Code 00098G, ABN 57 195 873 179</w:t>
                                    </w:r>
                                  </w:p>
                                </w:tc>
                              </w:tr>
                            </w:tbl>
                            <w:p w14:paraId="76F42595" w14:textId="77777777" w:rsidR="00094ACA" w:rsidRPr="00702BE3" w:rsidRDefault="00094ACA" w:rsidP="00094ACA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588BE20" w14:textId="77777777" w:rsidR="00094ACA" w:rsidRPr="00702BE3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062DD503" w14:textId="77777777" w:rsidR="00094ACA" w:rsidRPr="00094ACA" w:rsidRDefault="00094ACA" w:rsidP="00094ACA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  <w:tr w:rsidR="00094ACA" w:rsidRPr="00094ACA" w14:paraId="670CD98E" w14:textId="77777777">
              <w:trPr>
                <w:jc w:val="center"/>
                <w:hidden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675" w:type="dxa"/>
                    <w:left w:w="0" w:type="dxa"/>
                    <w:bottom w:w="945" w:type="dxa"/>
                    <w:right w:w="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94ACA" w:rsidRPr="00094ACA" w14:paraId="63CC3A33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hideMark/>
                      </w:tcPr>
                      <w:p w14:paraId="13BA481D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  <w:p w14:paraId="7764743D" w14:textId="77777777" w:rsidR="00094ACA" w:rsidRPr="00094ACA" w:rsidRDefault="00094ACA" w:rsidP="00094ACA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2CE1A1E7" w14:textId="77777777" w:rsidR="00094ACA" w:rsidRPr="00094ACA" w:rsidRDefault="00094ACA" w:rsidP="00094ACA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73031717" w14:textId="77777777" w:rsidR="00094ACA" w:rsidRPr="00094ACA" w:rsidRDefault="00094ACA" w:rsidP="00094AC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1F55D9CA" w14:textId="77777777" w:rsidR="00094ACA" w:rsidRPr="00094ACA" w:rsidRDefault="00094ACA" w:rsidP="00094AC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4441157" w14:textId="77777777" w:rsidR="00094ACA" w:rsidRPr="00094ACA" w:rsidRDefault="00094ACA">
      <w:pPr>
        <w:rPr>
          <w:lang w:val="nl-NL"/>
        </w:rPr>
      </w:pPr>
    </w:p>
    <w:sectPr w:rsidR="00094ACA" w:rsidRPr="00094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Koppen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23C"/>
    <w:multiLevelType w:val="multilevel"/>
    <w:tmpl w:val="0413001D"/>
    <w:styleLink w:val="Stij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CC7C31"/>
    <w:multiLevelType w:val="multilevel"/>
    <w:tmpl w:val="500A03A2"/>
    <w:lvl w:ilvl="0">
      <w:start w:val="1"/>
      <w:numFmt w:val="decimal"/>
      <w:lvlText w:val="%1"/>
      <w:lvlJc w:val="left"/>
      <w:pPr>
        <w:ind w:left="1152" w:hanging="432"/>
      </w:pPr>
      <w:rPr>
        <w:rFonts w:ascii="Arial Rounded MT Bold" w:hAnsi="Arial Rounded MT Bold" w:hint="default"/>
        <w:b/>
        <w:i w:val="0"/>
        <w:color w:val="4472C4" w:themeColor="accent1"/>
        <w:sz w:val="24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ascii="Arial Rounded MT Bold" w:hAnsi="Arial Rounded MT Bold" w:hint="default"/>
        <w:color w:val="4472C4" w:themeColor="accent1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color w:val="4472C4" w:themeColor="accent1"/>
        <w:sz w:val="24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2" w15:restartNumberingAfterBreak="0">
    <w:nsid w:val="139E58AC"/>
    <w:multiLevelType w:val="hybridMultilevel"/>
    <w:tmpl w:val="233E6A52"/>
    <w:lvl w:ilvl="0" w:tplc="D0083B78">
      <w:start w:val="1"/>
      <w:numFmt w:val="upperLetter"/>
      <w:lvlText w:val="%1."/>
      <w:lvlJc w:val="left"/>
      <w:pPr>
        <w:ind w:left="1440" w:hanging="360"/>
      </w:pPr>
      <w:rPr>
        <w:rFonts w:ascii="Arial Rounded MT Bold" w:hAnsi="Arial Rounded MT Bold" w:hint="default"/>
        <w:color w:val="4472C4" w:themeColor="accent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55650"/>
    <w:multiLevelType w:val="multilevel"/>
    <w:tmpl w:val="E498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8AC"/>
    <w:multiLevelType w:val="multilevel"/>
    <w:tmpl w:val="B0FE76FC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88B74A5"/>
    <w:multiLevelType w:val="multilevel"/>
    <w:tmpl w:val="8338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6944F47"/>
    <w:multiLevelType w:val="multilevel"/>
    <w:tmpl w:val="0413001D"/>
    <w:styleLink w:val="Stijl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6A5D81"/>
    <w:multiLevelType w:val="hybridMultilevel"/>
    <w:tmpl w:val="B532D0D0"/>
    <w:lvl w:ilvl="0" w:tplc="3E2A45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EA780">
      <w:start w:val="1"/>
      <w:numFmt w:val="lowerLetter"/>
      <w:lvlText w:val="%2."/>
      <w:lvlJc w:val="left"/>
      <w:pPr>
        <w:ind w:left="1440" w:hanging="360"/>
      </w:pPr>
    </w:lvl>
    <w:lvl w:ilvl="2" w:tplc="885E03F2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50119">
    <w:abstractNumId w:val="0"/>
  </w:num>
  <w:num w:numId="2" w16cid:durableId="1140658983">
    <w:abstractNumId w:val="7"/>
  </w:num>
  <w:num w:numId="3" w16cid:durableId="801970723">
    <w:abstractNumId w:val="7"/>
  </w:num>
  <w:num w:numId="4" w16cid:durableId="842087685">
    <w:abstractNumId w:val="2"/>
  </w:num>
  <w:num w:numId="5" w16cid:durableId="173494419">
    <w:abstractNumId w:val="4"/>
  </w:num>
  <w:num w:numId="6" w16cid:durableId="1693451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811615">
    <w:abstractNumId w:val="1"/>
  </w:num>
  <w:num w:numId="8" w16cid:durableId="138151341">
    <w:abstractNumId w:val="6"/>
  </w:num>
  <w:num w:numId="9" w16cid:durableId="108670781">
    <w:abstractNumId w:val="5"/>
  </w:num>
  <w:num w:numId="10" w16cid:durableId="100702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CA"/>
    <w:rsid w:val="00094ACA"/>
    <w:rsid w:val="00271D26"/>
    <w:rsid w:val="0032762A"/>
    <w:rsid w:val="00424763"/>
    <w:rsid w:val="004B7782"/>
    <w:rsid w:val="005D2C1D"/>
    <w:rsid w:val="007748EF"/>
    <w:rsid w:val="00D9171C"/>
    <w:rsid w:val="00DE6054"/>
    <w:rsid w:val="00E955BF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M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3D618"/>
  <w15:chartTrackingRefBased/>
  <w15:docId w15:val="{84D010DD-BEFF-EA4C-92EB-264A454A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M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9171C"/>
    <w:pPr>
      <w:keepNext/>
      <w:keepLines/>
      <w:numPr>
        <w:numId w:val="5"/>
      </w:numPr>
      <w:spacing w:before="320" w:line="360" w:lineRule="auto"/>
      <w:ind w:hanging="360"/>
      <w:outlineLvl w:val="0"/>
    </w:pPr>
    <w:rPr>
      <w:rFonts w:ascii="Arial Rounded MT Bold" w:eastAsiaTheme="majorEastAsia" w:hAnsi="Arial Rounded MT Bold" w:cstheme="majorBidi"/>
      <w:b/>
      <w:color w:val="4472C4" w:themeColor="accent1"/>
      <w:szCs w:val="32"/>
      <w:lang w:val="en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748EF"/>
    <w:pPr>
      <w:keepNext/>
      <w:keepLines/>
      <w:numPr>
        <w:ilvl w:val="1"/>
        <w:numId w:val="9"/>
      </w:numPr>
      <w:spacing w:before="80" w:line="360" w:lineRule="auto"/>
      <w:ind w:left="1296" w:hanging="576"/>
      <w:outlineLvl w:val="1"/>
    </w:pPr>
    <w:rPr>
      <w:rFonts w:ascii="Arial Rounded MT Bold" w:eastAsiaTheme="majorEastAsia" w:hAnsi="Arial Rounded MT Bold" w:cs="Times New Roman (Koppen CS)"/>
      <w:color w:val="4472C4" w:themeColor="accent1"/>
      <w:szCs w:val="28"/>
      <w:lang w:val="en" w:eastAsia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4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4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4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4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4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4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2">
    <w:name w:val="Stijl2"/>
    <w:basedOn w:val="Titel"/>
    <w:qFormat/>
    <w:rsid w:val="00424763"/>
    <w:rPr>
      <w:color w:val="4472C4" w:themeColor="accent1"/>
      <w:kern w:val="0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4247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32762A"/>
    <w:pPr>
      <w:spacing w:before="120" w:after="120"/>
    </w:pPr>
    <w:rPr>
      <w:rFonts w:eastAsiaTheme="minorEastAsia" w:cstheme="minorHAnsi"/>
      <w:bCs/>
      <w:caps/>
      <w:color w:val="4472C4" w:themeColor="accent1"/>
      <w:sz w:val="21"/>
      <w:szCs w:val="20"/>
      <w:lang w:val="en-GB"/>
    </w:rPr>
  </w:style>
  <w:style w:type="numbering" w:customStyle="1" w:styleId="Stijl6">
    <w:name w:val="Stijl6"/>
    <w:uiPriority w:val="99"/>
    <w:rsid w:val="0032762A"/>
    <w:pPr>
      <w:numPr>
        <w:numId w:val="1"/>
      </w:numPr>
    </w:pPr>
  </w:style>
  <w:style w:type="paragraph" w:customStyle="1" w:styleId="Stijl7">
    <w:name w:val="Stijl7"/>
    <w:basedOn w:val="Kop1"/>
    <w:qFormat/>
    <w:rsid w:val="00D9171C"/>
    <w:rPr>
      <w:rFonts w:cstheme="minorHAnsi"/>
      <w:b w:val="0"/>
      <w:bCs/>
      <w:caps/>
      <w:noProof/>
    </w:rPr>
  </w:style>
  <w:style w:type="character" w:customStyle="1" w:styleId="Kop1Char">
    <w:name w:val="Kop 1 Char"/>
    <w:basedOn w:val="Standaardalinea-lettertype"/>
    <w:link w:val="Kop1"/>
    <w:uiPriority w:val="9"/>
    <w:rsid w:val="00D9171C"/>
    <w:rPr>
      <w:rFonts w:ascii="Arial Rounded MT Bold" w:eastAsiaTheme="majorEastAsia" w:hAnsi="Arial Rounded MT Bold" w:cstheme="majorBidi"/>
      <w:b/>
      <w:color w:val="4472C4" w:themeColor="accent1"/>
      <w:szCs w:val="32"/>
      <w:lang w:val="en"/>
    </w:rPr>
  </w:style>
  <w:style w:type="character" w:customStyle="1" w:styleId="Kop2Char">
    <w:name w:val="Kop 2 Char"/>
    <w:basedOn w:val="Standaardalinea-lettertype"/>
    <w:link w:val="Kop2"/>
    <w:uiPriority w:val="9"/>
    <w:rsid w:val="007748EF"/>
    <w:rPr>
      <w:rFonts w:ascii="Arial Rounded MT Bold" w:eastAsiaTheme="majorEastAsia" w:hAnsi="Arial Rounded MT Bold" w:cs="Times New Roman (Koppen CS)"/>
      <w:color w:val="4472C4" w:themeColor="accent1"/>
      <w:szCs w:val="28"/>
      <w:lang w:val="en" w:eastAsia="en-GB"/>
    </w:rPr>
  </w:style>
  <w:style w:type="numbering" w:customStyle="1" w:styleId="Stijl9">
    <w:name w:val="Stijl9"/>
    <w:basedOn w:val="Geenlijst"/>
    <w:uiPriority w:val="99"/>
    <w:rsid w:val="007748EF"/>
    <w:pPr>
      <w:numPr>
        <w:numId w:val="8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094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4AC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4AC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4A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4A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4A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4ACA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4A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4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4A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4A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4AC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4AC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4AC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094ACA"/>
  </w:style>
  <w:style w:type="character" w:styleId="Hyperlink">
    <w:name w:val="Hyperlink"/>
    <w:basedOn w:val="Standaardalinea-lettertype"/>
    <w:uiPriority w:val="99"/>
    <w:semiHidden/>
    <w:unhideWhenUsed/>
    <w:rsid w:val="00094ACA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094ACA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94A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094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w.us3.list-manage.com/track/click?u=90dc25d76301c1f5080ba74ba&amp;id=bab5f643fa&amp;e=826cbaad5a" TargetMode="External"/><Relationship Id="rId13" Type="http://schemas.openxmlformats.org/officeDocument/2006/relationships/hyperlink" Target="https://unsw.us3.list-manage.com/track/click?u=90dc25d76301c1f5080ba74ba&amp;id=a96ecd107c&amp;e=826cbaad5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sw.us3.list-manage.com/track/click?u=90dc25d76301c1f5080ba74ba&amp;id=95a84c1be6&amp;e=826cbaad5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kaldorcentre.unsw.edu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nsw.us3.list-manage.com/track/click?u=90dc25d76301c1f5080ba74ba&amp;id=5b0361fa6d&amp;e=826cbaad5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nsw.us3.list-manage.com/track/click?u=90dc25d76301c1f5080ba74ba&amp;id=32abe21af5&amp;e=826cbaad5a" TargetMode="External"/><Relationship Id="rId10" Type="http://schemas.openxmlformats.org/officeDocument/2006/relationships/hyperlink" Target="https://unsw.us3.list-manage.com/track/click?u=90dc25d76301c1f5080ba74ba&amp;id=1bacae8b11&amp;e=826cbaad5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nsw.us3.list-manage.com/track/click?u=90dc25d76301c1f5080ba74ba&amp;id=f72301ded7&amp;e=826cbaad5a" TargetMode="External"/><Relationship Id="rId14" Type="http://schemas.openxmlformats.org/officeDocument/2006/relationships/hyperlink" Target="https://unsw.us3.list-manage.com/track/click?u=90dc25d76301c1f5080ba74ba&amp;id=3952c05ae5&amp;e=826cbaad5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van de Meeberg</dc:creator>
  <cp:keywords/>
  <dc:description/>
  <cp:lastModifiedBy>Liesbeth van de Meeberg</cp:lastModifiedBy>
  <cp:revision>1</cp:revision>
  <dcterms:created xsi:type="dcterms:W3CDTF">2026-05-29T13:44:00Z</dcterms:created>
  <dcterms:modified xsi:type="dcterms:W3CDTF">2026-05-29T14:04:00Z</dcterms:modified>
</cp:coreProperties>
</file>